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0"/>
          <w:szCs w:val="28"/>
        </w:rPr>
      </w:pPr>
    </w:p>
    <w:p>
      <w:pPr>
        <w:jc w:val="center"/>
        <w:rPr>
          <w:rFonts w:ascii="黑体" w:hAnsi="黑体" w:eastAsia="黑体"/>
          <w:sz w:val="28"/>
          <w:szCs w:val="28"/>
        </w:rPr>
      </w:pPr>
      <w:r>
        <w:rPr>
          <w:rFonts w:hint="eastAsia" w:ascii="方正小标宋简体" w:eastAsia="方正小标宋简体"/>
          <w:sz w:val="40"/>
          <w:szCs w:val="28"/>
        </w:rPr>
        <w:t>初中级专业技术职务认定相关问题解答</w:t>
      </w:r>
    </w:p>
    <w:p>
      <w:pPr>
        <w:jc w:val="right"/>
        <w:rPr>
          <w:rFonts w:ascii="黑体" w:hAnsi="黑体" w:eastAsia="黑体"/>
          <w:sz w:val="28"/>
          <w:szCs w:val="28"/>
        </w:rPr>
      </w:pPr>
    </w:p>
    <w:p>
      <w:pPr>
        <w:jc w:val="left"/>
        <w:rPr>
          <w:rFonts w:ascii="黑体" w:hAnsi="黑体" w:eastAsia="黑体"/>
          <w:b/>
          <w:color w:val="4F81BD" w:themeColor="accent1"/>
          <w:sz w:val="32"/>
          <w:szCs w:val="28"/>
          <w14:textFill>
            <w14:solidFill>
              <w14:schemeClr w14:val="accent1"/>
            </w14:solidFill>
          </w14:textFill>
        </w:rPr>
      </w:pPr>
      <w:r>
        <w:rPr>
          <w:rFonts w:hint="eastAsia" w:ascii="黑体" w:hAnsi="黑体" w:eastAsia="黑体"/>
          <w:b/>
          <w:color w:val="4F81BD" w:themeColor="accent1"/>
          <w:sz w:val="32"/>
          <w:szCs w:val="28"/>
          <w14:textFill>
            <w14:solidFill>
              <w14:schemeClr w14:val="accent1"/>
            </w14:solidFill>
          </w14:textFill>
        </w:rPr>
        <w:t>Q1：哪些人员需要进行“初中级认定”？</w:t>
      </w:r>
    </w:p>
    <w:p>
      <w:pPr>
        <w:rPr>
          <w:b/>
          <w:sz w:val="28"/>
          <w:szCs w:val="28"/>
        </w:rPr>
      </w:pPr>
      <w:r>
        <w:rPr>
          <w:rFonts w:hint="eastAsia"/>
          <w:b/>
          <w:sz w:val="28"/>
          <w:szCs w:val="28"/>
        </w:rPr>
        <w:t>A1：来校工作，尚未取得高校专业技术职务人员都需要进行初级或中级专业技术职务认定。</w:t>
      </w:r>
    </w:p>
    <w:p>
      <w:pPr>
        <w:spacing w:line="560" w:lineRule="exact"/>
        <w:rPr>
          <w:b/>
          <w:sz w:val="28"/>
          <w:szCs w:val="28"/>
        </w:rPr>
      </w:pPr>
      <w:r>
        <w:rPr>
          <w:rFonts w:hint="eastAsia"/>
          <w:b/>
          <w:sz w:val="28"/>
          <w:szCs w:val="28"/>
        </w:rPr>
        <w:t>A2：实行“考评结合”的审计、会计、卫生、档案、编辑等其他专业技术职务，须通过全国统一组织的考试，取得和所聘岗位相应的专业技术资格证书。对照教师职务基本任职条件，由学校专业技术职务评审委员会认定。</w:t>
      </w:r>
    </w:p>
    <w:p>
      <w:pPr>
        <w:ind w:firstLine="562" w:firstLineChars="200"/>
        <w:rPr>
          <w:b/>
          <w:sz w:val="28"/>
          <w:szCs w:val="28"/>
        </w:rPr>
      </w:pPr>
      <w:r>
        <w:rPr>
          <w:rFonts w:hint="eastAsia"/>
          <w:b/>
          <w:sz w:val="28"/>
          <w:szCs w:val="28"/>
        </w:rPr>
        <w:t>具体办法见《江苏理工学院初、中级专业技术职务认定办法》（江理工人〔2019〕207号）文件（人事处首页→政策法规→师资工作）。</w:t>
      </w:r>
    </w:p>
    <w:p>
      <w:pPr>
        <w:rPr>
          <w:b/>
          <w:sz w:val="28"/>
          <w:szCs w:val="28"/>
        </w:rPr>
      </w:pPr>
      <w:r>
        <w:rPr>
          <w:b/>
          <w:sz w:val="28"/>
          <w:szCs w:val="28"/>
        </w:rPr>
        <w:br w:type="page"/>
      </w:r>
    </w:p>
    <w:p>
      <w:pPr>
        <w:rPr>
          <w:b/>
          <w:sz w:val="28"/>
          <w:szCs w:val="28"/>
        </w:rPr>
      </w:pPr>
    </w:p>
    <w:p>
      <w:pPr>
        <w:jc w:val="center"/>
        <w:rPr>
          <w:rFonts w:ascii="方正小标宋简体" w:eastAsia="方正小标宋简体"/>
          <w:sz w:val="40"/>
          <w:szCs w:val="28"/>
        </w:rPr>
      </w:pPr>
      <w:r>
        <w:rPr>
          <w:rFonts w:hint="eastAsia" w:ascii="方正小标宋简体" w:eastAsia="方正小标宋简体"/>
          <w:sz w:val="40"/>
          <w:szCs w:val="28"/>
        </w:rPr>
        <w:t>“初中级认定”系统填报指南</w:t>
      </w:r>
    </w:p>
    <w:p>
      <w:pPr>
        <w:jc w:val="center"/>
        <w:rPr>
          <w:rFonts w:ascii="方正小标宋简体" w:eastAsia="方正小标宋简体"/>
          <w:sz w:val="40"/>
          <w:szCs w:val="28"/>
        </w:rPr>
      </w:pPr>
    </w:p>
    <w:p>
      <w:pPr>
        <w:jc w:val="left"/>
        <w:rPr>
          <w:rFonts w:ascii="黑体" w:hAnsi="黑体" w:eastAsia="黑体"/>
          <w:b/>
          <w:color w:val="4F81BD" w:themeColor="accent1"/>
          <w:sz w:val="32"/>
          <w:szCs w:val="28"/>
          <w14:textFill>
            <w14:solidFill>
              <w14:schemeClr w14:val="accent1"/>
            </w14:solidFill>
          </w14:textFill>
        </w:rPr>
      </w:pPr>
      <w:r>
        <w:rPr>
          <w:rFonts w:hint="eastAsia" w:ascii="黑体" w:hAnsi="黑体" w:eastAsia="黑体"/>
          <w:b/>
          <w:color w:val="4F81BD" w:themeColor="accent1"/>
          <w:sz w:val="32"/>
          <w:szCs w:val="28"/>
          <w14:textFill>
            <w14:solidFill>
              <w14:schemeClr w14:val="accent1"/>
            </w14:solidFill>
          </w14:textFill>
        </w:rPr>
        <w:t>Q1：系统登录相关要求</w:t>
      </w:r>
    </w:p>
    <w:p>
      <w:pPr>
        <w:spacing w:line="560" w:lineRule="exact"/>
        <w:rPr>
          <w:b/>
          <w:color w:val="FF0000"/>
          <w:sz w:val="28"/>
          <w:szCs w:val="28"/>
        </w:rPr>
      </w:pPr>
      <w:r>
        <w:rPr>
          <w:rFonts w:hint="eastAsia"/>
          <w:b/>
          <w:sz w:val="28"/>
          <w:szCs w:val="28"/>
        </w:rPr>
        <w:t>1. 浏览器使用：</w:t>
      </w:r>
      <w:r>
        <w:rPr>
          <w:rFonts w:hint="eastAsia"/>
          <w:b/>
          <w:color w:val="FF0000"/>
          <w:sz w:val="28"/>
          <w:szCs w:val="28"/>
        </w:rPr>
        <w:t>360浏览器（极速模式）或谷歌浏览器</w:t>
      </w:r>
    </w:p>
    <w:p>
      <w:pPr>
        <w:spacing w:line="560" w:lineRule="exact"/>
        <w:rPr>
          <w:rFonts w:hint="eastAsia" w:eastAsiaTheme="minorEastAsia"/>
          <w:b/>
          <w:sz w:val="28"/>
          <w:szCs w:val="28"/>
          <w:lang w:val="en-US" w:eastAsia="zh-CN"/>
        </w:rPr>
      </w:pPr>
      <w:r>
        <w:rPr>
          <w:rFonts w:hint="eastAsia"/>
          <w:b/>
          <w:sz w:val="28"/>
          <w:szCs w:val="28"/>
        </w:rPr>
        <w:t>2. 系统填报地址：</w:t>
      </w:r>
      <w:r>
        <w:rPr>
          <w:rFonts w:hint="eastAsia"/>
          <w:sz w:val="24"/>
          <w:szCs w:val="28"/>
        </w:rPr>
        <w:t>http://192.168.5.183:1080/zc/login</w:t>
      </w:r>
    </w:p>
    <w:p>
      <w:pPr>
        <w:spacing w:line="560" w:lineRule="exact"/>
        <w:rPr>
          <w:b/>
          <w:sz w:val="28"/>
          <w:szCs w:val="28"/>
        </w:rPr>
      </w:pPr>
      <w:r>
        <w:rPr>
          <w:rFonts w:hint="eastAsia"/>
          <w:b/>
          <w:sz w:val="28"/>
          <w:szCs w:val="28"/>
        </w:rPr>
        <w:t>3. 用户名：申报人工号；初始密码：123（</w:t>
      </w:r>
      <w:r>
        <w:rPr>
          <w:rFonts w:hint="eastAsia"/>
          <w:b/>
          <w:color w:val="FF0000"/>
          <w:sz w:val="28"/>
          <w:szCs w:val="28"/>
        </w:rPr>
        <w:t>首次登录后强制修改密码，请妥善保管</w:t>
      </w:r>
      <w:r>
        <w:rPr>
          <w:rFonts w:hint="eastAsia"/>
          <w:b/>
          <w:sz w:val="28"/>
          <w:szCs w:val="28"/>
        </w:rPr>
        <w:t>）。</w:t>
      </w:r>
    </w:p>
    <w:p>
      <w:pPr>
        <w:spacing w:line="560" w:lineRule="exact"/>
        <w:rPr>
          <w:b/>
          <w:sz w:val="28"/>
          <w:szCs w:val="28"/>
        </w:rPr>
      </w:pPr>
      <w:r>
        <w:rPr>
          <w:rFonts w:hint="eastAsia"/>
          <w:b/>
          <w:sz w:val="28"/>
          <w:szCs w:val="28"/>
        </w:rPr>
        <w:t>4. 校内登录：人事处首页</w:t>
      </w:r>
      <w:r>
        <w:rPr>
          <w:rFonts w:hint="eastAsia" w:asciiTheme="minorEastAsia" w:hAnsiTheme="minorEastAsia"/>
          <w:b/>
          <w:sz w:val="28"/>
          <w:szCs w:val="28"/>
        </w:rPr>
        <w:t>→信息平台→职称评审系统→</w:t>
      </w:r>
      <w:r>
        <w:rPr>
          <w:rFonts w:hint="eastAsia"/>
          <w:b/>
          <w:sz w:val="28"/>
          <w:szCs w:val="28"/>
        </w:rPr>
        <w:t>填报。</w:t>
      </w:r>
    </w:p>
    <w:p>
      <w:pPr>
        <w:spacing w:line="560" w:lineRule="exact"/>
        <w:rPr>
          <w:rFonts w:hint="eastAsia"/>
          <w:b/>
          <w:sz w:val="28"/>
          <w:szCs w:val="28"/>
        </w:rPr>
      </w:pPr>
      <w:r>
        <w:rPr>
          <w:rFonts w:hint="eastAsia"/>
          <w:b/>
          <w:sz w:val="28"/>
          <w:szCs w:val="28"/>
        </w:rPr>
        <w:t>5. 校外登录：使用VPN进入</w:t>
      </w:r>
      <w:r>
        <w:rPr>
          <w:rFonts w:hint="eastAsia"/>
          <w:b/>
          <w:color w:val="FF0000"/>
          <w:sz w:val="28"/>
          <w:szCs w:val="28"/>
        </w:rPr>
        <w:t>系统填报地址</w:t>
      </w:r>
      <w:r>
        <w:rPr>
          <w:rFonts w:hint="eastAsia"/>
          <w:b/>
          <w:sz w:val="28"/>
          <w:szCs w:val="28"/>
        </w:rPr>
        <w:t>，VPN使用详情见</w:t>
      </w:r>
      <w:r>
        <w:rPr>
          <w:rFonts w:hint="eastAsia"/>
          <w:b/>
          <w:sz w:val="28"/>
          <w:szCs w:val="28"/>
          <w:lang w:eastAsia="zh-CN"/>
        </w:rPr>
        <w:t>（</w:t>
      </w:r>
      <w:r>
        <w:rPr>
          <w:rFonts w:hint="eastAsia"/>
          <w:b/>
          <w:sz w:val="28"/>
          <w:szCs w:val="28"/>
          <w:lang w:val="en-US" w:eastAsia="zh-CN"/>
        </w:rPr>
        <w:t>学校首页</w:t>
      </w:r>
      <w:r>
        <w:rPr>
          <w:rFonts w:hint="eastAsia" w:asciiTheme="minorEastAsia" w:hAnsiTheme="minorEastAsia"/>
          <w:b/>
          <w:sz w:val="28"/>
          <w:szCs w:val="28"/>
        </w:rPr>
        <w:t>→</w:t>
      </w:r>
      <w:r>
        <w:rPr>
          <w:rFonts w:hint="eastAsia" w:asciiTheme="minorEastAsia" w:hAnsiTheme="minorEastAsia"/>
          <w:b/>
          <w:sz w:val="28"/>
          <w:szCs w:val="28"/>
          <w:lang w:val="en-US" w:eastAsia="zh-CN"/>
        </w:rPr>
        <w:t>公共服务</w:t>
      </w:r>
      <w:r>
        <w:rPr>
          <w:rFonts w:hint="eastAsia" w:asciiTheme="minorEastAsia" w:hAnsiTheme="minorEastAsia"/>
          <w:b/>
          <w:sz w:val="28"/>
          <w:szCs w:val="28"/>
        </w:rPr>
        <w:t>→</w:t>
      </w:r>
      <w:r>
        <w:rPr>
          <w:rFonts w:hint="eastAsia" w:asciiTheme="minorEastAsia" w:hAnsiTheme="minorEastAsia"/>
          <w:b/>
          <w:sz w:val="28"/>
          <w:szCs w:val="28"/>
          <w:lang w:val="en-US" w:eastAsia="zh-CN"/>
        </w:rPr>
        <w:t>远程接入</w:t>
      </w:r>
      <w:r>
        <w:rPr>
          <w:rFonts w:hint="eastAsia"/>
          <w:b/>
          <w:sz w:val="28"/>
          <w:szCs w:val="28"/>
          <w:lang w:eastAsia="zh-CN"/>
        </w:rPr>
        <w:t>）</w:t>
      </w:r>
      <w:r>
        <w:rPr>
          <w:rFonts w:hint="eastAsia"/>
          <w:b/>
          <w:sz w:val="28"/>
          <w:szCs w:val="28"/>
        </w:rPr>
        <w:t>：</w:t>
      </w:r>
      <w:r>
        <w:rPr>
          <w:rFonts w:hint="eastAsia"/>
          <w:b/>
          <w:sz w:val="28"/>
          <w:szCs w:val="28"/>
        </w:rPr>
        <w:fldChar w:fldCharType="begin"/>
      </w:r>
      <w:r>
        <w:rPr>
          <w:rFonts w:hint="eastAsia"/>
          <w:b/>
          <w:sz w:val="28"/>
          <w:szCs w:val="28"/>
        </w:rPr>
        <w:instrText xml:space="preserve"> HYPERLINK "http://www.jstu.edu.cn/3412/list.htm" </w:instrText>
      </w:r>
      <w:r>
        <w:rPr>
          <w:rFonts w:hint="eastAsia"/>
          <w:b/>
          <w:sz w:val="28"/>
          <w:szCs w:val="28"/>
        </w:rPr>
        <w:fldChar w:fldCharType="separate"/>
      </w:r>
      <w:r>
        <w:rPr>
          <w:rStyle w:val="8"/>
          <w:rFonts w:hint="eastAsia"/>
          <w:b/>
          <w:sz w:val="28"/>
          <w:szCs w:val="28"/>
        </w:rPr>
        <w:t>http://www.jstu.edu.cn/3412/list.htm</w:t>
      </w:r>
      <w:r>
        <w:rPr>
          <w:rFonts w:hint="eastAsia"/>
          <w:b/>
          <w:sz w:val="28"/>
          <w:szCs w:val="28"/>
        </w:rPr>
        <w:fldChar w:fldCharType="end"/>
      </w:r>
    </w:p>
    <w:p>
      <w:pPr>
        <w:spacing w:line="560" w:lineRule="exact"/>
        <w:rPr>
          <w:b/>
          <w:sz w:val="28"/>
          <w:szCs w:val="28"/>
        </w:rPr>
      </w:pPr>
      <w:r>
        <w:rPr>
          <w:rFonts w:hint="eastAsia"/>
          <w:b/>
          <w:sz w:val="28"/>
          <w:szCs w:val="28"/>
        </w:rPr>
        <w:t>6. 参加初中级认定人员须选择</w:t>
      </w:r>
      <w:r>
        <w:rPr>
          <w:rFonts w:hint="eastAsia"/>
          <w:b/>
          <w:sz w:val="28"/>
          <w:szCs w:val="28"/>
          <w:u w:val="double"/>
        </w:rPr>
        <w:t>“</w:t>
      </w:r>
      <w:r>
        <w:rPr>
          <w:rFonts w:hint="eastAsia"/>
          <w:b/>
          <w:color w:val="FF0000"/>
          <w:sz w:val="28"/>
          <w:szCs w:val="28"/>
          <w:highlight w:val="yellow"/>
          <w:u w:val="double"/>
        </w:rPr>
        <w:t>初中级认定</w:t>
      </w:r>
      <w:r>
        <w:rPr>
          <w:rFonts w:hint="eastAsia"/>
          <w:b/>
          <w:sz w:val="28"/>
          <w:szCs w:val="28"/>
          <w:u w:val="double"/>
        </w:rPr>
        <w:t>”</w:t>
      </w:r>
      <w:r>
        <w:rPr>
          <w:rFonts w:hint="eastAsia"/>
          <w:b/>
          <w:sz w:val="28"/>
          <w:szCs w:val="28"/>
        </w:rPr>
        <w:t>平台</w:t>
      </w:r>
      <w:r>
        <w:rPr>
          <w:rFonts w:hint="eastAsia" w:asciiTheme="minorEastAsia" w:hAnsiTheme="minorEastAsia"/>
          <w:b/>
          <w:sz w:val="28"/>
          <w:szCs w:val="28"/>
        </w:rPr>
        <w:t>端口登陆填报。</w:t>
      </w:r>
    </w:p>
    <w:p>
      <w:pPr>
        <w:jc w:val="left"/>
        <w:rPr>
          <w:rFonts w:ascii="黑体" w:hAnsi="黑体" w:eastAsia="黑体"/>
          <w:b/>
          <w:color w:val="4F81BD" w:themeColor="accent1"/>
          <w:sz w:val="32"/>
          <w:szCs w:val="28"/>
          <w14:textFill>
            <w14:solidFill>
              <w14:schemeClr w14:val="accent1"/>
            </w14:solidFill>
          </w14:textFill>
        </w:rPr>
      </w:pPr>
    </w:p>
    <w:p>
      <w:pPr>
        <w:jc w:val="left"/>
        <w:rPr>
          <w:rFonts w:ascii="黑体" w:hAnsi="黑体" w:eastAsia="黑体"/>
          <w:b/>
          <w:color w:val="4F81BD" w:themeColor="accent1"/>
          <w:sz w:val="32"/>
          <w:szCs w:val="28"/>
          <w14:textFill>
            <w14:solidFill>
              <w14:schemeClr w14:val="accent1"/>
            </w14:solidFill>
          </w14:textFill>
        </w:rPr>
      </w:pPr>
      <w:r>
        <w:rPr>
          <w:rFonts w:hint="eastAsia" w:ascii="黑体" w:hAnsi="黑体" w:eastAsia="黑体"/>
          <w:b/>
          <w:color w:val="4F81BD" w:themeColor="accent1"/>
          <w:sz w:val="32"/>
          <w:szCs w:val="28"/>
          <w14:textFill>
            <w14:solidFill>
              <w14:schemeClr w14:val="accent1"/>
            </w14:solidFill>
          </w14:textFill>
        </w:rPr>
        <w:t>Q2：</w:t>
      </w:r>
      <w:r>
        <w:rPr>
          <w:rFonts w:hint="eastAsia" w:ascii="黑体" w:hAnsi="黑体" w:eastAsia="黑体"/>
          <w:b/>
          <w:color w:val="FF0000"/>
          <w:sz w:val="32"/>
          <w:szCs w:val="28"/>
          <w:highlight w:val="yellow"/>
          <w:u w:val="double"/>
          <w:lang w:val="en-US" w:eastAsia="zh-CN"/>
        </w:rPr>
        <w:t>其他专技岗：会计、卫生等“考评结合”人员</w:t>
      </w:r>
      <w:r>
        <w:rPr>
          <w:rFonts w:hint="eastAsia" w:ascii="黑体" w:hAnsi="黑体" w:eastAsia="黑体"/>
          <w:b/>
          <w:color w:val="4F81BD" w:themeColor="accent1"/>
          <w:sz w:val="32"/>
          <w:szCs w:val="28"/>
          <w14:textFill>
            <w14:solidFill>
              <w14:schemeClr w14:val="accent1"/>
            </w14:solidFill>
          </w14:textFill>
        </w:rPr>
        <w:t>系统填报注意事项</w:t>
      </w:r>
    </w:p>
    <w:p>
      <w:pPr>
        <w:spacing w:line="560" w:lineRule="exact"/>
        <w:rPr>
          <w:b/>
          <w:sz w:val="28"/>
          <w:szCs w:val="28"/>
        </w:rPr>
      </w:pPr>
      <w:r>
        <w:rPr>
          <w:rFonts w:hint="eastAsia"/>
          <w:b/>
          <w:sz w:val="28"/>
          <w:szCs w:val="28"/>
        </w:rPr>
        <w:t>1.</w:t>
      </w:r>
      <w:r>
        <w:rPr>
          <w:rFonts w:hint="eastAsia"/>
          <w:b/>
          <w:color w:val="FF0000"/>
          <w:sz w:val="28"/>
          <w:szCs w:val="28"/>
        </w:rPr>
        <w:t>考评等级证书上传</w:t>
      </w:r>
      <w:r>
        <w:rPr>
          <w:rFonts w:hint="eastAsia"/>
          <w:b/>
          <w:sz w:val="28"/>
          <w:szCs w:val="28"/>
        </w:rPr>
        <w:t>至教师资格证栏目。</w:t>
      </w:r>
    </w:p>
    <w:p>
      <w:pPr>
        <w:spacing w:line="560" w:lineRule="exact"/>
        <w:rPr>
          <w:b/>
          <w:sz w:val="28"/>
          <w:szCs w:val="28"/>
        </w:rPr>
      </w:pPr>
      <w:r>
        <w:drawing>
          <wp:anchor distT="0" distB="0" distL="114300" distR="114300" simplePos="0" relativeHeight="251659264" behindDoc="0" locked="0" layoutInCell="1" allowOverlap="1">
            <wp:simplePos x="0" y="0"/>
            <wp:positionH relativeFrom="column">
              <wp:posOffset>40005</wp:posOffset>
            </wp:positionH>
            <wp:positionV relativeFrom="paragraph">
              <wp:posOffset>97155</wp:posOffset>
            </wp:positionV>
            <wp:extent cx="5274310" cy="520065"/>
            <wp:effectExtent l="0" t="0" r="254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5274310" cy="520065"/>
                    </a:xfrm>
                    <a:prstGeom prst="rect">
                      <a:avLst/>
                    </a:prstGeom>
                  </pic:spPr>
                </pic:pic>
              </a:graphicData>
            </a:graphic>
          </wp:anchor>
        </w:drawing>
      </w:r>
    </w:p>
    <w:p>
      <w:pPr>
        <w:spacing w:line="560" w:lineRule="exact"/>
        <w:rPr>
          <w:b/>
          <w:sz w:val="28"/>
          <w:szCs w:val="28"/>
        </w:rPr>
      </w:pPr>
    </w:p>
    <w:p>
      <w:pPr>
        <w:spacing w:line="560" w:lineRule="exact"/>
        <w:rPr>
          <w:b/>
          <w:color w:val="FF0000"/>
          <w:sz w:val="28"/>
          <w:szCs w:val="28"/>
        </w:rPr>
      </w:pPr>
      <w:r>
        <w:rPr>
          <w:rFonts w:hint="eastAsia"/>
          <w:b/>
          <w:sz w:val="28"/>
          <w:szCs w:val="28"/>
        </w:rPr>
        <w:t>2.提交认定需在备注栏标注</w:t>
      </w:r>
      <w:r>
        <w:rPr>
          <w:rFonts w:hint="eastAsia"/>
          <w:b/>
          <w:color w:val="FF0000"/>
          <w:sz w:val="28"/>
          <w:szCs w:val="28"/>
        </w:rPr>
        <w:t>“以考代评”。</w:t>
      </w:r>
    </w:p>
    <w:p>
      <w:pPr>
        <w:spacing w:line="560" w:lineRule="exact"/>
        <w:rPr>
          <w:b/>
          <w:sz w:val="28"/>
          <w:szCs w:val="28"/>
        </w:rPr>
      </w:pPr>
      <w:r>
        <w:drawing>
          <wp:anchor distT="0" distB="0" distL="114300" distR="114300" simplePos="0" relativeHeight="251660288" behindDoc="0" locked="0" layoutInCell="1" allowOverlap="1">
            <wp:simplePos x="0" y="0"/>
            <wp:positionH relativeFrom="column">
              <wp:posOffset>40640</wp:posOffset>
            </wp:positionH>
            <wp:positionV relativeFrom="paragraph">
              <wp:posOffset>40005</wp:posOffset>
            </wp:positionV>
            <wp:extent cx="5274310" cy="2429510"/>
            <wp:effectExtent l="0" t="0" r="2540" b="889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5274310" cy="2429510"/>
                    </a:xfrm>
                    <a:prstGeom prst="rect">
                      <a:avLst/>
                    </a:prstGeom>
                  </pic:spPr>
                </pic:pic>
              </a:graphicData>
            </a:graphic>
          </wp:anchor>
        </w:drawing>
      </w:r>
    </w:p>
    <w:p>
      <w:pPr>
        <w:spacing w:line="560" w:lineRule="exact"/>
        <w:rPr>
          <w:b/>
          <w:sz w:val="28"/>
          <w:szCs w:val="28"/>
        </w:rPr>
      </w:pPr>
    </w:p>
    <w:p>
      <w:pPr>
        <w:spacing w:line="560" w:lineRule="exact"/>
        <w:rPr>
          <w:b/>
          <w:sz w:val="28"/>
          <w:szCs w:val="28"/>
        </w:rPr>
      </w:pPr>
    </w:p>
    <w:p>
      <w:pPr>
        <w:spacing w:line="560" w:lineRule="exact"/>
        <w:rPr>
          <w:b/>
          <w:sz w:val="28"/>
          <w:szCs w:val="28"/>
        </w:rPr>
      </w:pPr>
    </w:p>
    <w:p>
      <w:pPr>
        <w:spacing w:line="560" w:lineRule="exact"/>
        <w:rPr>
          <w:b/>
          <w:sz w:val="28"/>
          <w:szCs w:val="28"/>
        </w:rPr>
      </w:pPr>
    </w:p>
    <w:p>
      <w:pPr>
        <w:spacing w:line="560" w:lineRule="exact"/>
        <w:rPr>
          <w:b/>
          <w:sz w:val="28"/>
          <w:szCs w:val="28"/>
        </w:rPr>
      </w:pPr>
    </w:p>
    <w:p>
      <w:pPr>
        <w:jc w:val="left"/>
        <w:rPr>
          <w:rFonts w:ascii="黑体" w:hAnsi="黑体" w:eastAsia="黑体"/>
          <w:b/>
          <w:color w:val="4F81BD" w:themeColor="accent1"/>
          <w:sz w:val="32"/>
          <w:szCs w:val="28"/>
          <w14:textFill>
            <w14:solidFill>
              <w14:schemeClr w14:val="accent1"/>
            </w14:solidFill>
          </w14:textFill>
        </w:rPr>
      </w:pPr>
      <w:r>
        <w:rPr>
          <w:rFonts w:hint="eastAsia" w:ascii="黑体" w:hAnsi="黑体" w:eastAsia="黑体"/>
          <w:b/>
          <w:color w:val="4F81BD" w:themeColor="accent1"/>
          <w:sz w:val="32"/>
          <w:szCs w:val="28"/>
          <w14:textFill>
            <w14:solidFill>
              <w14:schemeClr w14:val="accent1"/>
            </w14:solidFill>
          </w14:textFill>
        </w:rPr>
        <w:t>Q3： “初中级认定”什么时间段可以申请？</w:t>
      </w:r>
    </w:p>
    <w:p>
      <w:pPr>
        <w:rPr>
          <w:b/>
          <w:sz w:val="28"/>
          <w:szCs w:val="28"/>
        </w:rPr>
      </w:pPr>
      <w:r>
        <w:rPr>
          <w:rFonts w:hint="eastAsia"/>
          <w:b/>
          <w:sz w:val="28"/>
          <w:szCs w:val="28"/>
        </w:rPr>
        <w:t>A：“初中级认定”采用系统填报方式，申报人员需在通知规定时间内填报，逾期无法提交或变更信息（具体时间见通知）。</w:t>
      </w:r>
    </w:p>
    <w:p>
      <w:pPr>
        <w:rPr>
          <w:b/>
          <w:color w:val="FF0000"/>
          <w:sz w:val="28"/>
          <w:szCs w:val="28"/>
          <w:u w:val="double"/>
        </w:rPr>
      </w:pPr>
      <w:r>
        <w:rPr>
          <w:rFonts w:hint="eastAsia"/>
          <w:b/>
          <w:sz w:val="28"/>
          <w:szCs w:val="28"/>
          <w:u w:val="double"/>
        </w:rPr>
        <w:t>申报阶段</w:t>
      </w:r>
      <w:r>
        <w:rPr>
          <w:rFonts w:hint="eastAsia"/>
          <w:b/>
          <w:color w:val="FF0000"/>
          <w:sz w:val="28"/>
          <w:szCs w:val="28"/>
          <w:u w:val="double"/>
        </w:rPr>
        <w:t>未结束，</w:t>
      </w:r>
      <w:r>
        <w:rPr>
          <w:rFonts w:hint="eastAsia"/>
          <w:b/>
          <w:sz w:val="28"/>
          <w:szCs w:val="28"/>
          <w:u w:val="double"/>
        </w:rPr>
        <w:t>申报提交后仍</w:t>
      </w:r>
      <w:r>
        <w:rPr>
          <w:rFonts w:hint="eastAsia"/>
          <w:b/>
          <w:color w:val="FF0000"/>
          <w:sz w:val="28"/>
          <w:szCs w:val="28"/>
          <w:u w:val="double"/>
        </w:rPr>
        <w:t>可新增内容。</w:t>
      </w:r>
    </w:p>
    <w:p>
      <w:pPr>
        <w:rPr>
          <w:b/>
          <w:sz w:val="28"/>
          <w:szCs w:val="28"/>
          <w:u w:val="double"/>
        </w:rPr>
      </w:pPr>
      <w:r>
        <w:rPr>
          <w:rFonts w:hint="eastAsia"/>
          <w:b/>
          <w:sz w:val="28"/>
          <w:szCs w:val="28"/>
          <w:u w:val="double"/>
        </w:rPr>
        <w:t>申报阶段</w:t>
      </w:r>
      <w:r>
        <w:rPr>
          <w:rFonts w:hint="eastAsia"/>
          <w:b/>
          <w:color w:val="FF0000"/>
          <w:sz w:val="28"/>
          <w:szCs w:val="28"/>
          <w:u w:val="double"/>
        </w:rPr>
        <w:t>结束后，</w:t>
      </w:r>
      <w:r>
        <w:rPr>
          <w:rFonts w:hint="eastAsia"/>
          <w:b/>
          <w:sz w:val="28"/>
          <w:szCs w:val="28"/>
          <w:u w:val="double"/>
        </w:rPr>
        <w:t>申报人</w:t>
      </w:r>
      <w:r>
        <w:rPr>
          <w:rFonts w:hint="eastAsia"/>
          <w:b/>
          <w:color w:val="FF0000"/>
          <w:sz w:val="28"/>
          <w:szCs w:val="28"/>
          <w:u w:val="double"/>
        </w:rPr>
        <w:t>无法新增</w:t>
      </w:r>
      <w:r>
        <w:rPr>
          <w:rFonts w:hint="eastAsia"/>
          <w:b/>
          <w:sz w:val="28"/>
          <w:szCs w:val="28"/>
          <w:u w:val="double"/>
        </w:rPr>
        <w:t>申报内容，可对审核不通过内容进行完善。</w:t>
      </w:r>
    </w:p>
    <w:p>
      <w:pPr>
        <w:rPr>
          <w:sz w:val="28"/>
          <w:szCs w:val="28"/>
        </w:rPr>
      </w:pPr>
    </w:p>
    <w:p>
      <w:pPr>
        <w:jc w:val="left"/>
        <w:rPr>
          <w:rFonts w:ascii="黑体" w:hAnsi="黑体" w:eastAsia="黑体"/>
          <w:b/>
          <w:color w:val="4F81BD" w:themeColor="accent1"/>
          <w:sz w:val="32"/>
          <w:szCs w:val="28"/>
          <w14:textFill>
            <w14:solidFill>
              <w14:schemeClr w14:val="accent1"/>
            </w14:solidFill>
          </w14:textFill>
        </w:rPr>
      </w:pPr>
      <w:r>
        <w:rPr>
          <w:rFonts w:hint="eastAsia" w:ascii="黑体" w:hAnsi="黑体" w:eastAsia="黑体"/>
          <w:b/>
          <w:color w:val="4F81BD" w:themeColor="accent1"/>
          <w:sz w:val="32"/>
          <w:szCs w:val="28"/>
          <w14:textFill>
            <w14:solidFill>
              <w14:schemeClr w14:val="accent1"/>
            </w14:solidFill>
          </w14:textFill>
        </w:rPr>
        <w:t>Q4：时间计算器如何使用？</w:t>
      </w:r>
    </w:p>
    <w:p>
      <w:pPr>
        <w:jc w:val="left"/>
        <w:rPr>
          <w:rFonts w:ascii="黑体" w:hAnsi="黑体" w:eastAsia="黑体"/>
          <w:b/>
          <w:color w:val="FF0000"/>
          <w:sz w:val="32"/>
          <w:szCs w:val="28"/>
        </w:rPr>
      </w:pPr>
      <w:r>
        <w:rPr>
          <w:rFonts w:hint="eastAsia" w:ascii="黑体" w:hAnsi="黑体" w:eastAsia="黑体"/>
          <w:b/>
          <w:color w:val="FF0000"/>
          <w:sz w:val="32"/>
          <w:szCs w:val="28"/>
        </w:rPr>
        <w:t>（资质</w:t>
      </w:r>
      <w:r>
        <w:rPr>
          <w:rFonts w:ascii="黑体" w:hAnsi="黑体" w:eastAsia="黑体"/>
          <w:b/>
          <w:color w:val="FF0000"/>
          <w:sz w:val="32"/>
          <w:szCs w:val="28"/>
        </w:rPr>
        <w:t>资格时间截止到上一年度</w:t>
      </w:r>
      <w:r>
        <w:rPr>
          <w:rFonts w:hint="eastAsia" w:ascii="黑体" w:hAnsi="黑体" w:eastAsia="黑体"/>
          <w:b/>
          <w:color w:val="FF0000"/>
          <w:sz w:val="32"/>
          <w:szCs w:val="28"/>
        </w:rPr>
        <w:t>12月）</w:t>
      </w:r>
    </w:p>
    <w:p>
      <w:pPr>
        <w:rPr>
          <w:b/>
          <w:sz w:val="28"/>
          <w:szCs w:val="28"/>
        </w:rPr>
      </w:pPr>
      <w:r>
        <w:rPr>
          <w:rFonts w:hint="eastAsia"/>
          <w:b/>
          <w:sz w:val="28"/>
          <w:szCs w:val="28"/>
        </w:rPr>
        <w:t>A：根据图示，可以进行多个时间段的计算，最后结果自动叠加。</w:t>
      </w:r>
    </w:p>
    <w:p>
      <w:pPr>
        <w:jc w:val="center"/>
        <w:rPr>
          <w:color w:val="FF0000"/>
          <w:sz w:val="28"/>
          <w:szCs w:val="28"/>
          <w:u w:val="double"/>
        </w:rPr>
      </w:pPr>
      <w:r>
        <w:rPr>
          <w:rFonts w:hint="eastAsia"/>
          <w:b/>
          <w:color w:val="FF0000"/>
          <w:sz w:val="28"/>
          <w:szCs w:val="28"/>
          <w:u w:val="double"/>
        </w:rPr>
        <w:t>如果时间计算错误，一定要将原有记录清空后再重新计算。</w:t>
      </w:r>
    </w:p>
    <w:p>
      <w:pPr>
        <w:rPr>
          <w:sz w:val="28"/>
          <w:szCs w:val="28"/>
        </w:rPr>
      </w:pPr>
      <w:r>
        <w:drawing>
          <wp:inline distT="0" distB="0" distL="0" distR="0">
            <wp:extent cx="5274310" cy="21653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4310" cy="2165886"/>
                    </a:xfrm>
                    <a:prstGeom prst="rect">
                      <a:avLst/>
                    </a:prstGeom>
                  </pic:spPr>
                </pic:pic>
              </a:graphicData>
            </a:graphic>
          </wp:inline>
        </w:drawing>
      </w:r>
    </w:p>
    <w:p>
      <w:pPr>
        <w:jc w:val="left"/>
        <w:rPr>
          <w:rFonts w:ascii="黑体" w:hAnsi="黑体" w:eastAsia="黑体"/>
          <w:b/>
          <w:color w:val="4F81BD" w:themeColor="accent1"/>
          <w:sz w:val="32"/>
          <w:szCs w:val="28"/>
          <w14:textFill>
            <w14:solidFill>
              <w14:schemeClr w14:val="accent1"/>
            </w14:solidFill>
          </w14:textFill>
        </w:rPr>
      </w:pPr>
      <w:r>
        <w:rPr>
          <w:rFonts w:hint="eastAsia" w:ascii="黑体" w:hAnsi="黑体" w:eastAsia="黑体"/>
          <w:b/>
          <w:color w:val="4F81BD" w:themeColor="accent1"/>
          <w:sz w:val="32"/>
          <w:szCs w:val="28"/>
          <w14:textFill>
            <w14:solidFill>
              <w14:schemeClr w14:val="accent1"/>
            </w14:solidFill>
          </w14:textFill>
        </w:rPr>
        <w:t>Q5：如何算提交成功？</w:t>
      </w:r>
    </w:p>
    <w:p>
      <w:pPr>
        <w:jc w:val="left"/>
        <w:rPr>
          <w:b/>
          <w:sz w:val="28"/>
          <w:szCs w:val="28"/>
        </w:rPr>
      </w:pPr>
      <w:r>
        <w:rPr>
          <w:rFonts w:hint="eastAsia"/>
          <w:b/>
          <w:sz w:val="28"/>
          <w:szCs w:val="28"/>
        </w:rPr>
        <w:t>A：</w:t>
      </w:r>
      <w:r>
        <w:rPr>
          <w:rFonts w:hint="eastAsia"/>
        </w:rPr>
        <w:t xml:space="preserve"> </w:t>
      </w:r>
      <w:r>
        <w:rPr>
          <w:rFonts w:hint="eastAsia"/>
          <w:b/>
          <w:sz w:val="28"/>
          <w:szCs w:val="28"/>
        </w:rPr>
        <w:t>所有栏目填写完</w:t>
      </w:r>
      <w:bookmarkStart w:id="0" w:name="_GoBack"/>
      <w:bookmarkEnd w:id="0"/>
      <w:r>
        <w:rPr>
          <w:rFonts w:hint="eastAsia"/>
          <w:b/>
          <w:sz w:val="28"/>
          <w:szCs w:val="28"/>
        </w:rPr>
        <w:t>成后，</w:t>
      </w:r>
      <w:r>
        <w:rPr>
          <w:rFonts w:hint="eastAsia" w:ascii="黑体" w:hAnsi="黑体" w:eastAsia="黑体"/>
          <w:b/>
          <w:color w:val="FF0000"/>
          <w:sz w:val="32"/>
          <w:szCs w:val="28"/>
          <w:u w:val="double"/>
        </w:rPr>
        <w:t>对所有填写栏目内容进行检查确认，</w:t>
      </w:r>
      <w:r>
        <w:rPr>
          <w:rFonts w:hint="eastAsia"/>
          <w:b/>
          <w:sz w:val="28"/>
          <w:szCs w:val="28"/>
        </w:rPr>
        <w:t>确定无误后，返回菜单首页，点击“立即认定”，完成认定信息填写后点击“提交”。</w:t>
      </w:r>
      <w:r>
        <w:drawing>
          <wp:inline distT="0" distB="0" distL="0" distR="0">
            <wp:extent cx="5274310" cy="7112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74310" cy="711788"/>
                    </a:xfrm>
                    <a:prstGeom prst="rect">
                      <a:avLst/>
                    </a:prstGeom>
                  </pic:spPr>
                </pic:pic>
              </a:graphicData>
            </a:graphic>
          </wp:inline>
        </w:drawing>
      </w:r>
      <w:r>
        <w:drawing>
          <wp:inline distT="0" distB="0" distL="0" distR="0">
            <wp:extent cx="5274310" cy="2588895"/>
            <wp:effectExtent l="0" t="0" r="254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74310" cy="2588929"/>
                    </a:xfrm>
                    <a:prstGeom prst="rect">
                      <a:avLst/>
                    </a:prstGeom>
                  </pic:spPr>
                </pic:pic>
              </a:graphicData>
            </a:graphic>
          </wp:inline>
        </w:drawing>
      </w:r>
    </w:p>
    <w:p>
      <w:pPr>
        <w:widowControl/>
        <w:jc w:val="center"/>
        <w:rPr>
          <w:sz w:val="28"/>
          <w:szCs w:val="28"/>
        </w:rPr>
      </w:pPr>
      <w:r>
        <w:drawing>
          <wp:inline distT="0" distB="0" distL="0" distR="0">
            <wp:extent cx="2866390" cy="28282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2866667" cy="2828571"/>
                    </a:xfrm>
                    <a:prstGeom prst="rect">
                      <a:avLst/>
                    </a:prstGeom>
                  </pic:spPr>
                </pic:pic>
              </a:graphicData>
            </a:graphic>
          </wp:inline>
        </w:drawing>
      </w:r>
    </w:p>
    <w:p>
      <w:pPr>
        <w:widowControl/>
        <w:jc w:val="center"/>
        <w:rPr>
          <w:rFonts w:hint="eastAsia"/>
          <w:b/>
          <w:sz w:val="28"/>
          <w:szCs w:val="28"/>
        </w:rPr>
      </w:pPr>
      <w:r>
        <w:rPr>
          <w:rFonts w:hint="eastAsia"/>
          <w:b/>
          <w:sz w:val="28"/>
          <w:szCs w:val="28"/>
        </w:rPr>
        <w:t>初中级</w:t>
      </w:r>
      <w:r>
        <w:rPr>
          <w:b/>
          <w:sz w:val="28"/>
          <w:szCs w:val="28"/>
        </w:rPr>
        <w:t>认定</w:t>
      </w:r>
      <w:r>
        <w:rPr>
          <w:rFonts w:hint="eastAsia"/>
          <w:b/>
          <w:sz w:val="28"/>
          <w:szCs w:val="28"/>
          <w:lang w:val="en-US" w:eastAsia="zh-CN"/>
        </w:rPr>
        <w:t>QQ</w:t>
      </w:r>
      <w:r>
        <w:rPr>
          <w:b/>
          <w:sz w:val="28"/>
          <w:szCs w:val="28"/>
        </w:rPr>
        <w:t>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iNjEwMTc3OTYzNmE3ZjUzYTRhZjcyZmJlNTA4N2YifQ=="/>
  </w:docVars>
  <w:rsids>
    <w:rsidRoot w:val="00094534"/>
    <w:rsid w:val="00004D6C"/>
    <w:rsid w:val="00006999"/>
    <w:rsid w:val="00015EBC"/>
    <w:rsid w:val="000179A9"/>
    <w:rsid w:val="00041374"/>
    <w:rsid w:val="000427F2"/>
    <w:rsid w:val="000524AC"/>
    <w:rsid w:val="000613D0"/>
    <w:rsid w:val="00071928"/>
    <w:rsid w:val="00076B19"/>
    <w:rsid w:val="00091568"/>
    <w:rsid w:val="00094534"/>
    <w:rsid w:val="00096DC5"/>
    <w:rsid w:val="000A0EBB"/>
    <w:rsid w:val="000B7CFF"/>
    <w:rsid w:val="000C0A6C"/>
    <w:rsid w:val="000C3336"/>
    <w:rsid w:val="000D527E"/>
    <w:rsid w:val="000E2D1A"/>
    <w:rsid w:val="00102CC2"/>
    <w:rsid w:val="00110496"/>
    <w:rsid w:val="001130E3"/>
    <w:rsid w:val="0011389D"/>
    <w:rsid w:val="00115451"/>
    <w:rsid w:val="00150975"/>
    <w:rsid w:val="00166B6E"/>
    <w:rsid w:val="001816B0"/>
    <w:rsid w:val="001830F6"/>
    <w:rsid w:val="0018436E"/>
    <w:rsid w:val="001900DB"/>
    <w:rsid w:val="00192B4B"/>
    <w:rsid w:val="00195358"/>
    <w:rsid w:val="00195D01"/>
    <w:rsid w:val="001A1065"/>
    <w:rsid w:val="001A5EAD"/>
    <w:rsid w:val="001B4EC8"/>
    <w:rsid w:val="001C338C"/>
    <w:rsid w:val="001D48C7"/>
    <w:rsid w:val="001E216D"/>
    <w:rsid w:val="001E43E1"/>
    <w:rsid w:val="001E45F6"/>
    <w:rsid w:val="001E69D8"/>
    <w:rsid w:val="001E774F"/>
    <w:rsid w:val="001F2472"/>
    <w:rsid w:val="001F2D74"/>
    <w:rsid w:val="00203263"/>
    <w:rsid w:val="00211E3D"/>
    <w:rsid w:val="002128C0"/>
    <w:rsid w:val="002165AE"/>
    <w:rsid w:val="00222C89"/>
    <w:rsid w:val="00231069"/>
    <w:rsid w:val="002347E0"/>
    <w:rsid w:val="00234FD9"/>
    <w:rsid w:val="00235294"/>
    <w:rsid w:val="00272470"/>
    <w:rsid w:val="0028484B"/>
    <w:rsid w:val="00290894"/>
    <w:rsid w:val="00295381"/>
    <w:rsid w:val="002971F1"/>
    <w:rsid w:val="002A32CF"/>
    <w:rsid w:val="002A6646"/>
    <w:rsid w:val="002B176D"/>
    <w:rsid w:val="002B1829"/>
    <w:rsid w:val="002B537D"/>
    <w:rsid w:val="002B6643"/>
    <w:rsid w:val="002B75B4"/>
    <w:rsid w:val="002D530C"/>
    <w:rsid w:val="002D7C1F"/>
    <w:rsid w:val="002E0553"/>
    <w:rsid w:val="002F1982"/>
    <w:rsid w:val="002F6420"/>
    <w:rsid w:val="00302634"/>
    <w:rsid w:val="00304B43"/>
    <w:rsid w:val="003125B4"/>
    <w:rsid w:val="00316554"/>
    <w:rsid w:val="003165F8"/>
    <w:rsid w:val="00316D1B"/>
    <w:rsid w:val="00327C35"/>
    <w:rsid w:val="00360108"/>
    <w:rsid w:val="003608A6"/>
    <w:rsid w:val="003627E1"/>
    <w:rsid w:val="00393C3E"/>
    <w:rsid w:val="003A1831"/>
    <w:rsid w:val="003A5087"/>
    <w:rsid w:val="003A51FE"/>
    <w:rsid w:val="003A6997"/>
    <w:rsid w:val="003C0433"/>
    <w:rsid w:val="003C12CE"/>
    <w:rsid w:val="003C2B00"/>
    <w:rsid w:val="003C4D99"/>
    <w:rsid w:val="003C5709"/>
    <w:rsid w:val="003D5778"/>
    <w:rsid w:val="003E2E45"/>
    <w:rsid w:val="003F0216"/>
    <w:rsid w:val="003F2C87"/>
    <w:rsid w:val="003F4CC0"/>
    <w:rsid w:val="003F5DC7"/>
    <w:rsid w:val="00411E5E"/>
    <w:rsid w:val="00412D27"/>
    <w:rsid w:val="00421F46"/>
    <w:rsid w:val="00422CDD"/>
    <w:rsid w:val="00424785"/>
    <w:rsid w:val="00435A1D"/>
    <w:rsid w:val="00440A30"/>
    <w:rsid w:val="00442C13"/>
    <w:rsid w:val="0044687D"/>
    <w:rsid w:val="004539BA"/>
    <w:rsid w:val="00455BD3"/>
    <w:rsid w:val="0045602D"/>
    <w:rsid w:val="0046136D"/>
    <w:rsid w:val="0047302E"/>
    <w:rsid w:val="00491E60"/>
    <w:rsid w:val="00491EAA"/>
    <w:rsid w:val="00492FF2"/>
    <w:rsid w:val="00497BB2"/>
    <w:rsid w:val="004A1320"/>
    <w:rsid w:val="004A501D"/>
    <w:rsid w:val="004A552A"/>
    <w:rsid w:val="004A6703"/>
    <w:rsid w:val="004B52A7"/>
    <w:rsid w:val="004B644D"/>
    <w:rsid w:val="004C10D4"/>
    <w:rsid w:val="004D1859"/>
    <w:rsid w:val="004D47BD"/>
    <w:rsid w:val="004E22AF"/>
    <w:rsid w:val="004E2313"/>
    <w:rsid w:val="004E2F1A"/>
    <w:rsid w:val="004E776C"/>
    <w:rsid w:val="004F0992"/>
    <w:rsid w:val="004F128F"/>
    <w:rsid w:val="004F60B7"/>
    <w:rsid w:val="00507B27"/>
    <w:rsid w:val="00516EC1"/>
    <w:rsid w:val="00517C63"/>
    <w:rsid w:val="00520E2E"/>
    <w:rsid w:val="005221A9"/>
    <w:rsid w:val="0052672B"/>
    <w:rsid w:val="00527708"/>
    <w:rsid w:val="00531ED0"/>
    <w:rsid w:val="005332D8"/>
    <w:rsid w:val="005337C0"/>
    <w:rsid w:val="00540E4C"/>
    <w:rsid w:val="0054342D"/>
    <w:rsid w:val="00545D08"/>
    <w:rsid w:val="00555FCF"/>
    <w:rsid w:val="00560762"/>
    <w:rsid w:val="00561DBE"/>
    <w:rsid w:val="005644B6"/>
    <w:rsid w:val="00577596"/>
    <w:rsid w:val="0058030F"/>
    <w:rsid w:val="005933BC"/>
    <w:rsid w:val="005958BA"/>
    <w:rsid w:val="00596ACE"/>
    <w:rsid w:val="00596E0E"/>
    <w:rsid w:val="005A0806"/>
    <w:rsid w:val="005A4EB1"/>
    <w:rsid w:val="005A7E6E"/>
    <w:rsid w:val="005B2353"/>
    <w:rsid w:val="005B6005"/>
    <w:rsid w:val="005C3C5A"/>
    <w:rsid w:val="005D083C"/>
    <w:rsid w:val="005D18D7"/>
    <w:rsid w:val="005D4812"/>
    <w:rsid w:val="005D6AB3"/>
    <w:rsid w:val="005D6B9A"/>
    <w:rsid w:val="005D727B"/>
    <w:rsid w:val="005E4BF7"/>
    <w:rsid w:val="005E6985"/>
    <w:rsid w:val="005F2F2C"/>
    <w:rsid w:val="005F409B"/>
    <w:rsid w:val="005F4647"/>
    <w:rsid w:val="005F5C47"/>
    <w:rsid w:val="006015D2"/>
    <w:rsid w:val="00603BD0"/>
    <w:rsid w:val="00606A89"/>
    <w:rsid w:val="00607540"/>
    <w:rsid w:val="006156A0"/>
    <w:rsid w:val="00616C5C"/>
    <w:rsid w:val="00617023"/>
    <w:rsid w:val="00620970"/>
    <w:rsid w:val="00625E0C"/>
    <w:rsid w:val="00641A39"/>
    <w:rsid w:val="00642148"/>
    <w:rsid w:val="00643CE2"/>
    <w:rsid w:val="006549A2"/>
    <w:rsid w:val="00656148"/>
    <w:rsid w:val="0066271E"/>
    <w:rsid w:val="00663717"/>
    <w:rsid w:val="0066576D"/>
    <w:rsid w:val="00673F50"/>
    <w:rsid w:val="00681D26"/>
    <w:rsid w:val="0068296C"/>
    <w:rsid w:val="00686638"/>
    <w:rsid w:val="00694A74"/>
    <w:rsid w:val="00696684"/>
    <w:rsid w:val="00696C1D"/>
    <w:rsid w:val="00697B6F"/>
    <w:rsid w:val="006A76F4"/>
    <w:rsid w:val="006B7065"/>
    <w:rsid w:val="006B7F46"/>
    <w:rsid w:val="006C0CAC"/>
    <w:rsid w:val="006D2547"/>
    <w:rsid w:val="006D4AC6"/>
    <w:rsid w:val="006F28B0"/>
    <w:rsid w:val="006F2D03"/>
    <w:rsid w:val="006F34A2"/>
    <w:rsid w:val="00705E21"/>
    <w:rsid w:val="00706867"/>
    <w:rsid w:val="00713BFD"/>
    <w:rsid w:val="007202B4"/>
    <w:rsid w:val="00726C47"/>
    <w:rsid w:val="00735F47"/>
    <w:rsid w:val="007417B7"/>
    <w:rsid w:val="00747834"/>
    <w:rsid w:val="0076383E"/>
    <w:rsid w:val="007732C5"/>
    <w:rsid w:val="007740A6"/>
    <w:rsid w:val="007825E8"/>
    <w:rsid w:val="007907FB"/>
    <w:rsid w:val="00791DCE"/>
    <w:rsid w:val="00792D56"/>
    <w:rsid w:val="00794FCD"/>
    <w:rsid w:val="007A11D4"/>
    <w:rsid w:val="007A32E4"/>
    <w:rsid w:val="007A61C1"/>
    <w:rsid w:val="007B5FCE"/>
    <w:rsid w:val="007B6BB0"/>
    <w:rsid w:val="007B73C9"/>
    <w:rsid w:val="007C02DA"/>
    <w:rsid w:val="007C5645"/>
    <w:rsid w:val="007C7670"/>
    <w:rsid w:val="007D70A6"/>
    <w:rsid w:val="007F2190"/>
    <w:rsid w:val="007F5E73"/>
    <w:rsid w:val="007F5F50"/>
    <w:rsid w:val="00805275"/>
    <w:rsid w:val="00806E06"/>
    <w:rsid w:val="00826056"/>
    <w:rsid w:val="00831652"/>
    <w:rsid w:val="00837D11"/>
    <w:rsid w:val="00845989"/>
    <w:rsid w:val="0084749F"/>
    <w:rsid w:val="00851C0E"/>
    <w:rsid w:val="00852C9D"/>
    <w:rsid w:val="008554C8"/>
    <w:rsid w:val="0085588B"/>
    <w:rsid w:val="00857FDF"/>
    <w:rsid w:val="00861ADB"/>
    <w:rsid w:val="0086646C"/>
    <w:rsid w:val="008741FE"/>
    <w:rsid w:val="00874A17"/>
    <w:rsid w:val="0087758E"/>
    <w:rsid w:val="00880747"/>
    <w:rsid w:val="00886FE0"/>
    <w:rsid w:val="00896A09"/>
    <w:rsid w:val="00897F61"/>
    <w:rsid w:val="008A39D9"/>
    <w:rsid w:val="008C2100"/>
    <w:rsid w:val="008C3D12"/>
    <w:rsid w:val="008D3D6A"/>
    <w:rsid w:val="008D6DF4"/>
    <w:rsid w:val="008E3496"/>
    <w:rsid w:val="008F552D"/>
    <w:rsid w:val="008F726D"/>
    <w:rsid w:val="00900FBB"/>
    <w:rsid w:val="00901C54"/>
    <w:rsid w:val="00903EE3"/>
    <w:rsid w:val="00904179"/>
    <w:rsid w:val="0090568C"/>
    <w:rsid w:val="0091500E"/>
    <w:rsid w:val="009239E0"/>
    <w:rsid w:val="00924F75"/>
    <w:rsid w:val="00926375"/>
    <w:rsid w:val="0092758D"/>
    <w:rsid w:val="00930A75"/>
    <w:rsid w:val="00930A95"/>
    <w:rsid w:val="0093332B"/>
    <w:rsid w:val="00937E6D"/>
    <w:rsid w:val="00940D1C"/>
    <w:rsid w:val="00943405"/>
    <w:rsid w:val="00945225"/>
    <w:rsid w:val="009468B0"/>
    <w:rsid w:val="00947B4F"/>
    <w:rsid w:val="0095253A"/>
    <w:rsid w:val="00954529"/>
    <w:rsid w:val="009731A6"/>
    <w:rsid w:val="0098628D"/>
    <w:rsid w:val="009905C4"/>
    <w:rsid w:val="00994F95"/>
    <w:rsid w:val="00995390"/>
    <w:rsid w:val="009964E4"/>
    <w:rsid w:val="009A30B1"/>
    <w:rsid w:val="009B5910"/>
    <w:rsid w:val="009C397E"/>
    <w:rsid w:val="009C4BC0"/>
    <w:rsid w:val="009C56FA"/>
    <w:rsid w:val="009D5082"/>
    <w:rsid w:val="009E1980"/>
    <w:rsid w:val="009E6839"/>
    <w:rsid w:val="009F3320"/>
    <w:rsid w:val="009F5BE0"/>
    <w:rsid w:val="00A12C2B"/>
    <w:rsid w:val="00A22982"/>
    <w:rsid w:val="00A311F6"/>
    <w:rsid w:val="00A4099F"/>
    <w:rsid w:val="00A42343"/>
    <w:rsid w:val="00A52278"/>
    <w:rsid w:val="00A52D47"/>
    <w:rsid w:val="00A57479"/>
    <w:rsid w:val="00A614D5"/>
    <w:rsid w:val="00A64DBC"/>
    <w:rsid w:val="00A8162C"/>
    <w:rsid w:val="00A87FBD"/>
    <w:rsid w:val="00A90C44"/>
    <w:rsid w:val="00A945E3"/>
    <w:rsid w:val="00AA6618"/>
    <w:rsid w:val="00AB3DDF"/>
    <w:rsid w:val="00AB7C27"/>
    <w:rsid w:val="00AC3BB5"/>
    <w:rsid w:val="00AC5155"/>
    <w:rsid w:val="00AC6AC0"/>
    <w:rsid w:val="00AD09CB"/>
    <w:rsid w:val="00AD426D"/>
    <w:rsid w:val="00AD6129"/>
    <w:rsid w:val="00AE1B3E"/>
    <w:rsid w:val="00AE3CA5"/>
    <w:rsid w:val="00AF1FD0"/>
    <w:rsid w:val="00AF25EC"/>
    <w:rsid w:val="00AF3529"/>
    <w:rsid w:val="00AF6EFA"/>
    <w:rsid w:val="00B021B5"/>
    <w:rsid w:val="00B07816"/>
    <w:rsid w:val="00B11420"/>
    <w:rsid w:val="00B11720"/>
    <w:rsid w:val="00B11ECB"/>
    <w:rsid w:val="00B15571"/>
    <w:rsid w:val="00B17207"/>
    <w:rsid w:val="00B23F29"/>
    <w:rsid w:val="00B253D0"/>
    <w:rsid w:val="00B26556"/>
    <w:rsid w:val="00B30428"/>
    <w:rsid w:val="00B31CA8"/>
    <w:rsid w:val="00B329A9"/>
    <w:rsid w:val="00B3548C"/>
    <w:rsid w:val="00B50836"/>
    <w:rsid w:val="00B52371"/>
    <w:rsid w:val="00B95245"/>
    <w:rsid w:val="00B96D64"/>
    <w:rsid w:val="00B97BB8"/>
    <w:rsid w:val="00BA2B9A"/>
    <w:rsid w:val="00BA3FC0"/>
    <w:rsid w:val="00BA60EF"/>
    <w:rsid w:val="00BC0C00"/>
    <w:rsid w:val="00BC224D"/>
    <w:rsid w:val="00BC62BC"/>
    <w:rsid w:val="00BD4E57"/>
    <w:rsid w:val="00BE45C9"/>
    <w:rsid w:val="00BE4B27"/>
    <w:rsid w:val="00BF2948"/>
    <w:rsid w:val="00BF3A2E"/>
    <w:rsid w:val="00BF7B58"/>
    <w:rsid w:val="00C00457"/>
    <w:rsid w:val="00C07C27"/>
    <w:rsid w:val="00C12682"/>
    <w:rsid w:val="00C15F43"/>
    <w:rsid w:val="00C3324D"/>
    <w:rsid w:val="00C43A5E"/>
    <w:rsid w:val="00C50926"/>
    <w:rsid w:val="00C62494"/>
    <w:rsid w:val="00C63D3F"/>
    <w:rsid w:val="00C65030"/>
    <w:rsid w:val="00C656EC"/>
    <w:rsid w:val="00C65A97"/>
    <w:rsid w:val="00C717BC"/>
    <w:rsid w:val="00C740F4"/>
    <w:rsid w:val="00C745FE"/>
    <w:rsid w:val="00C805F7"/>
    <w:rsid w:val="00C820F1"/>
    <w:rsid w:val="00C87D6B"/>
    <w:rsid w:val="00C950FB"/>
    <w:rsid w:val="00C971ED"/>
    <w:rsid w:val="00CA11BD"/>
    <w:rsid w:val="00CA24CF"/>
    <w:rsid w:val="00CA3BBF"/>
    <w:rsid w:val="00CA59CC"/>
    <w:rsid w:val="00CA6F7A"/>
    <w:rsid w:val="00CB24AF"/>
    <w:rsid w:val="00CB5C1E"/>
    <w:rsid w:val="00CD34D6"/>
    <w:rsid w:val="00CD5B4F"/>
    <w:rsid w:val="00CF13D4"/>
    <w:rsid w:val="00CF3F41"/>
    <w:rsid w:val="00D1421E"/>
    <w:rsid w:val="00D168F9"/>
    <w:rsid w:val="00D23C97"/>
    <w:rsid w:val="00D32A03"/>
    <w:rsid w:val="00D33118"/>
    <w:rsid w:val="00D43490"/>
    <w:rsid w:val="00D43DCB"/>
    <w:rsid w:val="00D47F86"/>
    <w:rsid w:val="00D52088"/>
    <w:rsid w:val="00D530F8"/>
    <w:rsid w:val="00D544B0"/>
    <w:rsid w:val="00D5478C"/>
    <w:rsid w:val="00D55C33"/>
    <w:rsid w:val="00D61B0F"/>
    <w:rsid w:val="00D65126"/>
    <w:rsid w:val="00D730CD"/>
    <w:rsid w:val="00D90650"/>
    <w:rsid w:val="00D94327"/>
    <w:rsid w:val="00DA62AB"/>
    <w:rsid w:val="00DA7DE4"/>
    <w:rsid w:val="00DB7A26"/>
    <w:rsid w:val="00DC3EB4"/>
    <w:rsid w:val="00DD0C9A"/>
    <w:rsid w:val="00DD0E8B"/>
    <w:rsid w:val="00DE27F8"/>
    <w:rsid w:val="00DE4590"/>
    <w:rsid w:val="00DE6697"/>
    <w:rsid w:val="00DF3BD9"/>
    <w:rsid w:val="00DF3FBB"/>
    <w:rsid w:val="00E0292F"/>
    <w:rsid w:val="00E05E0F"/>
    <w:rsid w:val="00E1057F"/>
    <w:rsid w:val="00E11A85"/>
    <w:rsid w:val="00E126E2"/>
    <w:rsid w:val="00E1368D"/>
    <w:rsid w:val="00E14F30"/>
    <w:rsid w:val="00E17612"/>
    <w:rsid w:val="00E22DEE"/>
    <w:rsid w:val="00E24A4B"/>
    <w:rsid w:val="00E258D2"/>
    <w:rsid w:val="00E25E5C"/>
    <w:rsid w:val="00E263BF"/>
    <w:rsid w:val="00E27126"/>
    <w:rsid w:val="00E34574"/>
    <w:rsid w:val="00E35800"/>
    <w:rsid w:val="00E36F48"/>
    <w:rsid w:val="00E41872"/>
    <w:rsid w:val="00E44088"/>
    <w:rsid w:val="00E577D4"/>
    <w:rsid w:val="00E622C5"/>
    <w:rsid w:val="00E63113"/>
    <w:rsid w:val="00E6685E"/>
    <w:rsid w:val="00E70664"/>
    <w:rsid w:val="00E773C3"/>
    <w:rsid w:val="00EA5C0B"/>
    <w:rsid w:val="00EB1FF5"/>
    <w:rsid w:val="00EB3771"/>
    <w:rsid w:val="00EB4028"/>
    <w:rsid w:val="00EC04A4"/>
    <w:rsid w:val="00EC41FF"/>
    <w:rsid w:val="00ED3AA6"/>
    <w:rsid w:val="00ED7436"/>
    <w:rsid w:val="00EE1E01"/>
    <w:rsid w:val="00EE503D"/>
    <w:rsid w:val="00EF3402"/>
    <w:rsid w:val="00F0148C"/>
    <w:rsid w:val="00F0642B"/>
    <w:rsid w:val="00F15BEE"/>
    <w:rsid w:val="00F27261"/>
    <w:rsid w:val="00F52A32"/>
    <w:rsid w:val="00F52CB6"/>
    <w:rsid w:val="00F63877"/>
    <w:rsid w:val="00F65572"/>
    <w:rsid w:val="00F67436"/>
    <w:rsid w:val="00F67485"/>
    <w:rsid w:val="00F71E56"/>
    <w:rsid w:val="00F73988"/>
    <w:rsid w:val="00F97C7D"/>
    <w:rsid w:val="00FA1EEF"/>
    <w:rsid w:val="00FC5601"/>
    <w:rsid w:val="00FD159D"/>
    <w:rsid w:val="00FD457C"/>
    <w:rsid w:val="00FD592F"/>
    <w:rsid w:val="00FF2104"/>
    <w:rsid w:val="02427F54"/>
    <w:rsid w:val="030D25DA"/>
    <w:rsid w:val="073D4864"/>
    <w:rsid w:val="08162CBC"/>
    <w:rsid w:val="08562ADD"/>
    <w:rsid w:val="0F4D081E"/>
    <w:rsid w:val="185B5E3E"/>
    <w:rsid w:val="1EC54F49"/>
    <w:rsid w:val="29BC6E31"/>
    <w:rsid w:val="2A8A3381"/>
    <w:rsid w:val="2DC355E8"/>
    <w:rsid w:val="2F753DC1"/>
    <w:rsid w:val="2FAF56C0"/>
    <w:rsid w:val="34C30728"/>
    <w:rsid w:val="3F577E93"/>
    <w:rsid w:val="441427F7"/>
    <w:rsid w:val="47264590"/>
    <w:rsid w:val="4814157E"/>
    <w:rsid w:val="494D7DB4"/>
    <w:rsid w:val="5DAF212D"/>
    <w:rsid w:val="5E5B12F6"/>
    <w:rsid w:val="60383C02"/>
    <w:rsid w:val="60B847DE"/>
    <w:rsid w:val="61E052CA"/>
    <w:rsid w:val="63E6241D"/>
    <w:rsid w:val="64571BB4"/>
    <w:rsid w:val="66653FC8"/>
    <w:rsid w:val="68ED5C81"/>
    <w:rsid w:val="6D61130D"/>
    <w:rsid w:val="6EB76BE7"/>
    <w:rsid w:val="72642B56"/>
    <w:rsid w:val="74100200"/>
    <w:rsid w:val="757D0790"/>
    <w:rsid w:val="76F16C27"/>
    <w:rsid w:val="77030942"/>
    <w:rsid w:val="7AF95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qFormat/>
    <w:uiPriority w:val="99"/>
    <w:rPr>
      <w:color w:val="800080" w:themeColor="followedHyperlink"/>
      <w:u w:val="single"/>
      <w14:textFill>
        <w14:solidFill>
          <w14:schemeClr w14:val="folHlink"/>
        </w14:solidFill>
      </w14:textFill>
    </w:rPr>
  </w:style>
  <w:style w:type="character" w:styleId="8">
    <w:name w:val="Hyperlink"/>
    <w:basedOn w:val="6"/>
    <w:unhideWhenUsed/>
    <w:qFormat/>
    <w:uiPriority w:val="99"/>
    <w:rPr>
      <w:color w:val="0000FF"/>
      <w:u w:val="single"/>
    </w:rPr>
  </w:style>
  <w:style w:type="character" w:customStyle="1" w:styleId="9">
    <w:name w:val="批注框文本 字符"/>
    <w:basedOn w:val="6"/>
    <w:link w:val="2"/>
    <w:semiHidden/>
    <w:qFormat/>
    <w:uiPriority w:val="99"/>
    <w:rPr>
      <w:sz w:val="18"/>
      <w:szCs w:val="18"/>
    </w:rPr>
  </w:style>
  <w:style w:type="character" w:customStyle="1" w:styleId="10">
    <w:name w:val="页眉 字符"/>
    <w:basedOn w:val="6"/>
    <w:link w:val="4"/>
    <w:qFormat/>
    <w:uiPriority w:val="99"/>
    <w:rPr>
      <w:sz w:val="18"/>
      <w:szCs w:val="18"/>
    </w:rPr>
  </w:style>
  <w:style w:type="character" w:customStyle="1" w:styleId="11">
    <w:name w:val="页脚 字符"/>
    <w:basedOn w:val="6"/>
    <w:link w:val="3"/>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794</Words>
  <Characters>893</Characters>
  <Lines>7</Lines>
  <Paragraphs>2</Paragraphs>
  <TotalTime>1</TotalTime>
  <ScaleCrop>false</ScaleCrop>
  <LinksUpToDate>false</LinksUpToDate>
  <CharactersWithSpaces>901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2020-04-22T14:48:00Z</dcterms:created>
  <dc:creator>缪妙</dc:creator>
  <cp:lastModifiedBy>职雪滢-직설영</cp:lastModifiedBy>
  <dcterms:modified xsi:type="dcterms:W3CDTF">2023-02-27T07:22:29Z</dcterms:modified>
  <cp:revision>474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678F67668638402FB740C213C6AADEE7</vt:lpwstr>
  </property>
</Properties>
</file>